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B4" w:rsidRPr="00FB5DF8" w:rsidRDefault="00E459B4" w:rsidP="00506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D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E459B4" w:rsidRPr="00FB5DF8" w:rsidRDefault="00E459B4" w:rsidP="00E459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D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 общеобразовательная школа  п. Грачевка</w:t>
      </w:r>
    </w:p>
    <w:p w:rsidR="00E459B4" w:rsidRPr="00FB5DF8" w:rsidRDefault="00E459B4" w:rsidP="00E459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D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Зеленоградского района Калининградской области</w:t>
      </w:r>
    </w:p>
    <w:p w:rsidR="00E459B4" w:rsidRPr="00FB5DF8" w:rsidRDefault="00E459B4" w:rsidP="00E459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5D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E459B4" w:rsidRPr="00FB5DF8" w:rsidRDefault="00E459B4" w:rsidP="00E459B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459B4" w:rsidRPr="00FB5DF8" w:rsidRDefault="00E459B4" w:rsidP="00E459B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459B4" w:rsidRPr="00FB5DF8" w:rsidRDefault="00F81196" w:rsidP="00F81196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11B71F" wp14:editId="18C1C128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B4" w:rsidRPr="00FB5DF8" w:rsidRDefault="00E459B4" w:rsidP="00E459B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459B4" w:rsidRDefault="00E459B4" w:rsidP="00E459B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06F89" w:rsidRDefault="00506F89" w:rsidP="00E459B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06F89" w:rsidRPr="00FB5DF8" w:rsidRDefault="00506F89" w:rsidP="00E459B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459B4" w:rsidRPr="00FB5DF8" w:rsidRDefault="00E459B4" w:rsidP="00E45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9B4" w:rsidRPr="00FB5DF8" w:rsidRDefault="00E459B4" w:rsidP="00E45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5DF8">
        <w:rPr>
          <w:rFonts w:ascii="Times New Roman" w:eastAsia="Calibri" w:hAnsi="Times New Roman" w:cs="Times New Roman"/>
          <w:b/>
          <w:sz w:val="36"/>
          <w:szCs w:val="36"/>
        </w:rPr>
        <w:t>Рабочая программа учебного предмета</w:t>
      </w:r>
    </w:p>
    <w:p w:rsidR="00E459B4" w:rsidRPr="00FB5DF8" w:rsidRDefault="00E459B4" w:rsidP="00E45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5DF8">
        <w:rPr>
          <w:rFonts w:ascii="Times New Roman" w:eastAsia="Calibri" w:hAnsi="Times New Roman" w:cs="Times New Roman"/>
          <w:b/>
          <w:sz w:val="36"/>
          <w:szCs w:val="36"/>
        </w:rPr>
        <w:t>«Музыка»</w:t>
      </w:r>
    </w:p>
    <w:p w:rsidR="00E459B4" w:rsidRPr="00FB5DF8" w:rsidRDefault="00E459B4" w:rsidP="00E45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59B4" w:rsidRPr="00FB5DF8" w:rsidRDefault="00E459B4" w:rsidP="00E459B4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5</w:t>
      </w:r>
      <w:r w:rsidRPr="00FB5DF8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 класс</w:t>
      </w:r>
    </w:p>
    <w:p w:rsidR="00E459B4" w:rsidRPr="00FB5DF8" w:rsidRDefault="00E459B4" w:rsidP="00E459B4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FB5DF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Всего учебных часов </w:t>
      </w:r>
      <w:r w:rsidR="002C31F2">
        <w:rPr>
          <w:rFonts w:ascii="Times New Roman" w:eastAsia="Times New Roman" w:hAnsi="Times New Roman" w:cs="Times New Roman"/>
          <w:sz w:val="28"/>
          <w:szCs w:val="32"/>
          <w:lang w:eastAsia="ar-SA"/>
        </w:rPr>
        <w:t>18</w:t>
      </w:r>
    </w:p>
    <w:p w:rsidR="00E459B4" w:rsidRPr="00FB5DF8" w:rsidRDefault="00E459B4" w:rsidP="00E459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FB5DF8">
        <w:rPr>
          <w:rFonts w:ascii="Times New Roman" w:eastAsia="Times New Roman" w:hAnsi="Times New Roman" w:cs="Times New Roman"/>
          <w:sz w:val="28"/>
          <w:szCs w:val="32"/>
          <w:lang w:eastAsia="ar-SA"/>
        </w:rPr>
        <w:t>Срок реализации 2020– 2021 учебный год</w:t>
      </w:r>
    </w:p>
    <w:p w:rsidR="00E459B4" w:rsidRPr="00FB5DF8" w:rsidRDefault="00E459B4" w:rsidP="00E459B4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FB5DF8" w:rsidRDefault="00E459B4" w:rsidP="00F81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FB5DF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                                                                               </w:t>
      </w:r>
      <w:proofErr w:type="spellStart"/>
      <w:r w:rsidRPr="00FB5DF8">
        <w:rPr>
          <w:rFonts w:ascii="Times New Roman" w:eastAsia="Times New Roman" w:hAnsi="Times New Roman" w:cs="Times New Roman"/>
          <w:sz w:val="28"/>
          <w:szCs w:val="32"/>
          <w:lang w:eastAsia="ar-SA"/>
        </w:rPr>
        <w:t>Пигида</w:t>
      </w:r>
      <w:proofErr w:type="spellEnd"/>
      <w:r w:rsidRPr="00FB5DF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Г.Ю.</w:t>
      </w: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9B4" w:rsidRPr="00FB5DF8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9B4" w:rsidRPr="00E15865" w:rsidRDefault="00E459B4" w:rsidP="00E45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459B4" w:rsidRPr="00E15865" w:rsidRDefault="00E459B4" w:rsidP="00E45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9B4" w:rsidRDefault="00E459B4" w:rsidP="00E4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9B4" w:rsidRDefault="00E459B4" w:rsidP="00E4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9B4" w:rsidRDefault="00E459B4" w:rsidP="00E4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9B4" w:rsidRDefault="00E459B4" w:rsidP="00E4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9B4" w:rsidRPr="00F81196" w:rsidRDefault="00E459B4" w:rsidP="00F81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Грачевка</w:t>
      </w:r>
      <w:bookmarkStart w:id="0" w:name="_GoBack"/>
      <w:bookmarkEnd w:id="0"/>
    </w:p>
    <w:p w:rsidR="00212087" w:rsidRPr="00212087" w:rsidRDefault="00212087" w:rsidP="0021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087" w:rsidRPr="00212087" w:rsidRDefault="00212087" w:rsidP="00506F89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50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«Музыка»</w:t>
      </w:r>
      <w:r w:rsidR="0050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5класс</w:t>
      </w:r>
    </w:p>
    <w:p w:rsidR="00212087" w:rsidRPr="00212087" w:rsidRDefault="00212087" w:rsidP="00506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музыкальному искус</w:t>
      </w:r>
      <w:r w:rsidR="009A5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ству должно обеспечить </w:t>
      </w:r>
      <w:proofErr w:type="gramStart"/>
      <w:r w:rsidR="009A5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обучающимся</w:t>
      </w:r>
      <w:proofErr w:type="gramEnd"/>
      <w:r w:rsidRPr="00212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возможность:</w:t>
      </w:r>
    </w:p>
    <w:p w:rsidR="00212087" w:rsidRPr="00212087" w:rsidRDefault="00212087" w:rsidP="00506F89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взаимодействие музыки с другими видами ис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212087" w:rsidRPr="00212087" w:rsidRDefault="00212087" w:rsidP="00506F89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212087" w:rsidRPr="00212087" w:rsidRDefault="00212087" w:rsidP="00506F89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суждение об основной идее, о средствах и фор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ее воплощения;</w:t>
      </w:r>
    </w:p>
    <w:p w:rsidR="00212087" w:rsidRPr="00212087" w:rsidRDefault="00212087" w:rsidP="00506F89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</w:t>
      </w:r>
      <w:r w:rsidR="0050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ритмическом дви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</w:t>
      </w:r>
      <w:proofErr w:type="gram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поэтическом слове, изобразительной деятельно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212087" w:rsidRPr="00212087" w:rsidRDefault="00212087" w:rsidP="00506F89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(пении, пластическом интонировании, импровиза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игре на инструментах);</w:t>
      </w:r>
    </w:p>
    <w:p w:rsidR="00212087" w:rsidRPr="00212087" w:rsidRDefault="00212087" w:rsidP="00506F89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212087" w:rsidRPr="00212087" w:rsidRDefault="00212087" w:rsidP="00506F89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212087" w:rsidRPr="00506F89" w:rsidRDefault="00212087" w:rsidP="00506F89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но-эстетической жизни класса, школы.</w:t>
      </w:r>
    </w:p>
    <w:p w:rsidR="00212087" w:rsidRPr="00212087" w:rsidRDefault="00506F89" w:rsidP="0050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«Музыка»</w:t>
      </w:r>
      <w:r w:rsidR="00212087"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обеспечивает определенные результаты.</w:t>
      </w:r>
    </w:p>
    <w:p w:rsidR="00212087" w:rsidRPr="00212087" w:rsidRDefault="00212087" w:rsidP="0050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</w:t>
      </w:r>
      <w:r w:rsidR="009A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свойствах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они должны приобрести в процессе освоения учебного предмета "Музыка: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212087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212087">
        <w:rPr>
          <w:rFonts w:ascii="Times New Roman" w:eastAsia="Calibri" w:hAnsi="Times New Roman" w:cs="Times New Roman"/>
          <w:sz w:val="24"/>
          <w:szCs w:val="24"/>
        </w:rPr>
        <w:t>угих людей и сопереживание им;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lastRenderedPageBreak/>
        <w:t>принятие ценности семейной жизни, уважительное и заботливое отношение к членам своей семьи;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212087" w:rsidRPr="00212087" w:rsidRDefault="00212087" w:rsidP="00506F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познавать мир через музыкальные формы и образы.</w:t>
      </w:r>
    </w:p>
    <w:p w:rsidR="00212087" w:rsidRPr="00212087" w:rsidRDefault="00212087" w:rsidP="0050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212087" w:rsidRPr="00212087" w:rsidRDefault="00212087" w:rsidP="00506F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212087" w:rsidRPr="00212087" w:rsidRDefault="00212087" w:rsidP="0050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8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12087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8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12087">
        <w:rPr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</w:t>
      </w:r>
      <w:proofErr w:type="gramStart"/>
      <w:r w:rsidRPr="00212087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212087">
        <w:rPr>
          <w:rFonts w:ascii="Times New Roman" w:eastAsia="Calibri" w:hAnsi="Times New Roman" w:cs="Times New Roman"/>
          <w:sz w:val="24"/>
          <w:szCs w:val="24"/>
        </w:rPr>
        <w:t xml:space="preserve">слушание музыки, пение, инструментальное </w:t>
      </w:r>
      <w:proofErr w:type="spellStart"/>
      <w:r w:rsidRPr="00212087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212087">
        <w:rPr>
          <w:rFonts w:ascii="Times New Roman" w:eastAsia="Calibri" w:hAnsi="Times New Roman" w:cs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</w:t>
      </w:r>
      <w:proofErr w:type="spellStart"/>
      <w:r w:rsidRPr="00212087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21208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087">
        <w:rPr>
          <w:rFonts w:ascii="Times New Roman" w:eastAsia="Calibri" w:hAnsi="Times New Roman" w:cs="Times New Roman"/>
          <w:sz w:val="24"/>
          <w:szCs w:val="24"/>
        </w:rPr>
        <w:t>представлять место</w:t>
      </w:r>
      <w:proofErr w:type="gramEnd"/>
      <w:r w:rsidRPr="00212087">
        <w:rPr>
          <w:rFonts w:ascii="Times New Roman" w:eastAsia="Calibri" w:hAnsi="Times New Roman" w:cs="Times New Roman"/>
          <w:sz w:val="24"/>
          <w:szCs w:val="24"/>
        </w:rPr>
        <w:t xml:space="preserve"> и роль музыкального искусства в жизни человека и общества;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212087" w:rsidRPr="00212087" w:rsidRDefault="00212087" w:rsidP="00506F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87">
        <w:rPr>
          <w:rFonts w:ascii="Times New Roman" w:eastAsia="Calibri" w:hAnsi="Times New Roman" w:cs="Times New Roman"/>
          <w:sz w:val="24"/>
          <w:szCs w:val="24"/>
        </w:rPr>
        <w:t>различать основные жанры народной и профессиональной музыки.</w:t>
      </w:r>
    </w:p>
    <w:p w:rsidR="00212087" w:rsidRPr="00212087" w:rsidRDefault="00212087" w:rsidP="0050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087" w:rsidRP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12087" w:rsidRPr="00212087" w:rsidTr="00800A00">
        <w:tc>
          <w:tcPr>
            <w:tcW w:w="4785" w:type="dxa"/>
          </w:tcPr>
          <w:p w:rsidR="00212087" w:rsidRPr="00212087" w:rsidRDefault="00212087" w:rsidP="00212087">
            <w:pP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087"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212087">
              <w:rPr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12087">
              <w:rPr>
                <w:b/>
                <w:i/>
                <w:color w:val="000000"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4786" w:type="dxa"/>
          </w:tcPr>
          <w:p w:rsidR="00212087" w:rsidRPr="00212087" w:rsidRDefault="00212087" w:rsidP="00212087">
            <w:pP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212087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12087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для формирования</w:t>
            </w:r>
          </w:p>
        </w:tc>
      </w:tr>
      <w:tr w:rsidR="00212087" w:rsidRPr="00212087" w:rsidTr="00800A00">
        <w:tc>
          <w:tcPr>
            <w:tcW w:w="4785" w:type="dxa"/>
          </w:tcPr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Целостный, социально ориентированный взгляд на мир в его ограниченном единстве и разнообразии природы, народов, культур и религий;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212087">
              <w:rPr>
                <w:color w:val="000000"/>
                <w:sz w:val="24"/>
                <w:szCs w:val="24"/>
              </w:rPr>
              <w:t>вств  др</w:t>
            </w:r>
            <w:proofErr w:type="gramEnd"/>
            <w:r w:rsidRPr="00212087">
              <w:rPr>
                <w:color w:val="000000"/>
                <w:sz w:val="24"/>
                <w:szCs w:val="24"/>
              </w:rPr>
              <w:t>угих людей и сопереживание им;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 xml:space="preserve">Участие в общественной жизни школы в пределах возрастных компетенций с учетом региональных и этнокультурных </w:t>
            </w:r>
            <w:r w:rsidRPr="00212087">
              <w:rPr>
                <w:color w:val="000000"/>
                <w:sz w:val="24"/>
                <w:szCs w:val="24"/>
              </w:rPr>
              <w:lastRenderedPageBreak/>
              <w:t>особенностей;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4786" w:type="dxa"/>
          </w:tcPr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lastRenderedPageBreak/>
              <w:t>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Компетентности в решении моральных проблем на основе личностного выбора, осознанного и ответственного отношения к собственным поступкам;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</w:t>
            </w:r>
            <w:proofErr w:type="gramStart"/>
            <w:r w:rsidRPr="00155B6F">
              <w:rPr>
                <w:i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155B6F">
              <w:rPr>
                <w:i/>
                <w:color w:val="000000"/>
                <w:sz w:val="24"/>
                <w:szCs w:val="24"/>
              </w:rPr>
              <w:t>творческой и других видах деятельности;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Эстетических потребностей, ценностей и чувств, эстетического сознания как результата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12087" w:rsidRPr="00212087" w:rsidRDefault="00212087" w:rsidP="0021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P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212087" w:rsidRPr="00212087" w:rsidTr="00800A00">
        <w:tc>
          <w:tcPr>
            <w:tcW w:w="4784" w:type="dxa"/>
          </w:tcPr>
          <w:p w:rsidR="00212087" w:rsidRPr="00212087" w:rsidRDefault="00212087" w:rsidP="00212087">
            <w:pP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087">
              <w:rPr>
                <w:b/>
                <w:i/>
                <w:color w:val="000000"/>
                <w:sz w:val="24"/>
                <w:szCs w:val="24"/>
              </w:rPr>
              <w:t>Обучающийся научится</w:t>
            </w:r>
          </w:p>
        </w:tc>
        <w:tc>
          <w:tcPr>
            <w:tcW w:w="4786" w:type="dxa"/>
          </w:tcPr>
          <w:p w:rsidR="00212087" w:rsidRPr="00212087" w:rsidRDefault="00212087" w:rsidP="00212087">
            <w:pP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212087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12087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212087" w:rsidRPr="00212087" w:rsidTr="00800A00">
        <w:tc>
          <w:tcPr>
            <w:tcW w:w="4784" w:type="dxa"/>
          </w:tcPr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Умению самостоятельно ставить новые учебные задачи на основе развития познавательных мотивов и интересов;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Умению анализировать собственную учебную деятельность, адекватно оценивать правильность или ошибочность выполненной учебной задачи и собственные возможности ее решения, вносить необходимые коррективы для достижения запланированных результатов;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Умению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Смысловому чтению текстов разных стилей и жанров;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Умению создавать, применять и преобразовывать знаки и символы модели и схемы для решения учебных и познавательных задач;</w:t>
            </w:r>
          </w:p>
        </w:tc>
        <w:tc>
          <w:tcPr>
            <w:tcW w:w="4786" w:type="dxa"/>
          </w:tcPr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Умению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Умению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Формированию и развитию компетентности в области использования информационно-коммуникационных технологий, стремлению к самостоятельному общению с искусством и художественному самообразованию.</w:t>
            </w:r>
          </w:p>
        </w:tc>
      </w:tr>
    </w:tbl>
    <w:p w:rsidR="00212087" w:rsidRP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12087" w:rsidRPr="00212087" w:rsidTr="00800A00">
        <w:tc>
          <w:tcPr>
            <w:tcW w:w="4785" w:type="dxa"/>
          </w:tcPr>
          <w:p w:rsidR="00212087" w:rsidRPr="00212087" w:rsidRDefault="00212087" w:rsidP="00212087">
            <w:pP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087">
              <w:rPr>
                <w:b/>
                <w:i/>
                <w:color w:val="000000"/>
                <w:sz w:val="24"/>
                <w:szCs w:val="24"/>
              </w:rPr>
              <w:t>Обучающийся научится</w:t>
            </w:r>
          </w:p>
        </w:tc>
        <w:tc>
          <w:tcPr>
            <w:tcW w:w="4785" w:type="dxa"/>
          </w:tcPr>
          <w:p w:rsidR="00212087" w:rsidRPr="00212087" w:rsidRDefault="00212087" w:rsidP="00212087">
            <w:pP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212087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12087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212087" w:rsidRPr="00212087" w:rsidTr="00800A00">
        <w:tc>
          <w:tcPr>
            <w:tcW w:w="4785" w:type="dxa"/>
          </w:tcPr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Сформирует  основу музыкальной культуры  как неотъемлемой части его общей духовной культуры;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lastRenderedPageBreak/>
      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12087">
              <w:rPr>
                <w:color w:val="000000"/>
                <w:sz w:val="24"/>
                <w:szCs w:val="24"/>
              </w:rPr>
      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      </w:r>
          </w:p>
        </w:tc>
        <w:tc>
          <w:tcPr>
            <w:tcW w:w="4785" w:type="dxa"/>
          </w:tcPr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lastRenderedPageBreak/>
      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 xml:space="preserve">Сформировать мотивационную направленность на продуктивную музыкально-творческую деятельность (слушание музыки, пение, </w:t>
            </w:r>
            <w:r w:rsidRPr="00155B6F">
              <w:rPr>
                <w:i/>
                <w:color w:val="000000"/>
                <w:sz w:val="24"/>
                <w:szCs w:val="24"/>
              </w:rPr>
              <w:lastRenderedPageBreak/>
              <w:t xml:space="preserve">инструментальное </w:t>
            </w:r>
            <w:proofErr w:type="spellStart"/>
            <w:r w:rsidRPr="00155B6F">
              <w:rPr>
                <w:i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155B6F">
              <w:rPr>
                <w:i/>
                <w:color w:val="000000"/>
                <w:sz w:val="24"/>
                <w:szCs w:val="24"/>
              </w:rPr>
              <w:t>, драматизация музыкальных произведений, импровизация, музыкально-пластическое движение и др.);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      </w:r>
          </w:p>
          <w:p w:rsidR="00212087" w:rsidRPr="00155B6F" w:rsidRDefault="00212087" w:rsidP="00212087">
            <w:pPr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r w:rsidRPr="00155B6F">
              <w:rPr>
                <w:i/>
                <w:color w:val="000000"/>
                <w:sz w:val="24"/>
                <w:szCs w:val="24"/>
              </w:rPr>
              <w:t>Сотрудничеству в ходе реализации коллективных творческих проектов, решения различных музыкально-творческих задач.</w:t>
            </w:r>
          </w:p>
          <w:p w:rsidR="00212087" w:rsidRPr="00212087" w:rsidRDefault="00212087" w:rsidP="0021208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12087" w:rsidRPr="00212087" w:rsidRDefault="00212087" w:rsidP="00212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Default="00212087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6F89" w:rsidRPr="00212087" w:rsidRDefault="00506F89" w:rsidP="0021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 учебного предмета «Музыка»</w:t>
      </w:r>
    </w:p>
    <w:p w:rsidR="00212087" w:rsidRP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12087" w:rsidRPr="005E5FC6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5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1. «Музыка и литература»</w:t>
      </w:r>
    </w:p>
    <w:p w:rsidR="00212087" w:rsidRPr="005C0ECA" w:rsidRDefault="00212087" w:rsidP="0021208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Pr="005C0E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роднит музыку с литературой.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Сюже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ская и зарубежная, старинная и современная). Специфика средств художественной выразительности каждого из искусств. Вокальная музыка. </w:t>
      </w:r>
      <w:r w:rsidRPr="005C0E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Фольклор в музыке русских композиторов.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0E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Жанры инструментальной и вокальной музыки.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0E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Вторая жизнь песни.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0E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Писатели и поэты о музыке и музыкантах.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0ECA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shd w:val="clear" w:color="auto" w:fill="FFFFFF"/>
          <w:lang w:eastAsia="ru-RU"/>
        </w:rPr>
        <w:t xml:space="preserve"> Путешествие</w:t>
      </w:r>
      <w:r w:rsidRPr="005C0ECA">
        <w:rPr>
          <w:rFonts w:ascii="Times New Roman" w:eastAsia="Times New Roman" w:hAnsi="Times New Roman" w:cs="Times New Roman"/>
          <w:bCs/>
          <w:spacing w:val="-20"/>
          <w:sz w:val="24"/>
          <w:szCs w:val="24"/>
          <w:shd w:val="clear" w:color="auto" w:fill="FFFFFF"/>
          <w:lang w:eastAsia="ru-RU"/>
        </w:rPr>
        <w:t xml:space="preserve">  в</w:t>
      </w:r>
      <w:r w:rsidRPr="005C0ECA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музыкальный</w:t>
      </w:r>
      <w:r w:rsidRPr="005C0ECA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театр: опера, балет, мюзикл. Музыка в театре, кино, на телевидении.</w:t>
      </w:r>
    </w:p>
    <w:p w:rsidR="00212087" w:rsidRPr="005C0ECA" w:rsidRDefault="00212087" w:rsidP="0021208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различных форм </w:t>
      </w:r>
      <w:proofErr w:type="spellStart"/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музицирования</w:t>
      </w:r>
      <w:proofErr w:type="spellEnd"/>
      <w:r w:rsidRPr="005C0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творческих заданий в освоении содержания музыкальных образов.</w:t>
      </w:r>
    </w:p>
    <w:p w:rsidR="00212087" w:rsidRPr="00212087" w:rsidRDefault="00212087" w:rsidP="0021208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1208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212087" w:rsidRPr="005E5FC6" w:rsidRDefault="00212087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5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«</w:t>
      </w:r>
      <w:r w:rsidRPr="005E5F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 и изобразительное искусство</w:t>
      </w:r>
      <w:r w:rsidRPr="005E5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212087" w:rsidRPr="00212087" w:rsidRDefault="00212087" w:rsidP="0021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Небесное</w:t>
      </w:r>
      <w:proofErr w:type="gram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212087" w:rsidRPr="00212087" w:rsidRDefault="00212087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программы составляет отечественное и зарубежное высокохудожественное музыкальное наследие, современная музыка различных стилей и жанров, духовная (церковная) музыка. В процессе обучения у школьников расширяются представления о музыкальном творчестве отечественных композиторов (М. И. Глинка, П. И. Чайковский, Н. А. Римский-Корсаков, С. В. Рахманинов, С. С. Прокофьев, Г. В. Свиридов, Р. К. Щедрин). </w:t>
      </w: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осваивают стилистику и музыкальный язык М. П. Мусоргского, А. П. Бородина, И. Ф. Стравинского, Д. Д. Шостаковича, А. И. Хачатуряна, Д. Б.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Губайдиллиной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творчество композиторов-песенников И. О. Дунаевского, А. В. Александрова, А. Н.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артистов эстрады (Л. Утесов); многообразие современной музыкальной жизни (авторская песня, электронная музыка и др.).</w:t>
      </w:r>
      <w:proofErr w:type="gramEnd"/>
    </w:p>
    <w:p w:rsidR="00212087" w:rsidRPr="00212087" w:rsidRDefault="00212087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знакомятся с искусством интерпретации на примере выдающихся российских исполнителей (Ф. И. Шаляпин, А. В. Нежданова, С. Т. Рихтер, Д. Ф. Ойстрах, Е. В. Мравинский, А. В. Свешников и др.) и музыкальных исполнительских коллективов (Государственный академический русский народный хор им. М. Е. Пятницкого, Национальный академический оркестр народных инструментов России им. Н. П. Осипова, Государственный академический симфонический оркестр России им. Е.</w:t>
      </w:r>
      <w:proofErr w:type="gram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Светланова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Государственный академический камерный оркестр России, Государственный духовой оркестр России, Биг-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О. Лундстрема).</w:t>
      </w:r>
      <w:proofErr w:type="gram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получают общее представление о важнейших центрах российской музыкальной культуры и музыкального образования (Московский международный Дом музыки, Московская государственная консерватория им. П. И. Чайковского, Санкт-Петербургская консерватория им. Н. А. Римского-Корсакова), российских театрах оперы и балета (Большой театр, Мариинский театр).</w:t>
      </w:r>
    </w:p>
    <w:p w:rsidR="00212087" w:rsidRPr="00212087" w:rsidRDefault="00212087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Ученики продолжают освоение музыки зарубежных композиторов (И.-С. Бах, В.-А. Моцарт, Л. Ванн Бетховен, Ф. Шопен, Р. Шуман,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знакомятся с художественно-образным содержанием творчества Ф. Листа, Ф. Шуберта, Ж. Бизе, Дж. Верди, Дж. Россини, К. Дебюсси, М. Равеля, К.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Шёнберга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получают обобщенное представление о джазовом стиле ((джаз, спиричуэл, блюз, симфоджаз), его исполнителях и создателях</w:t>
      </w:r>
      <w:proofErr w:type="gram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Эллингтон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Фицджеральд, Дж. Гершвин).</w:t>
      </w:r>
      <w:proofErr w:type="gram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школьники накапливают знания о выдающихся зарубежных исполнителях (Э.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Карузо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Каллас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Горовиц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Менухин, А. Тосканини и др.), всемирно известных театрах (Ла Скала (Италия, Милан), </w:t>
      </w:r>
      <w:proofErr w:type="spellStart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Гранд-опера</w:t>
      </w:r>
      <w:proofErr w:type="spellEnd"/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(Франция, Париж), Ковент-Гарден (Англия, Лондон) и др.), разнообразии современной популярной музыки (мюзикл, рок-музыка и ее различные направления, диско-музыка и др.).</w:t>
      </w:r>
      <w:proofErr w:type="gramEnd"/>
    </w:p>
    <w:p w:rsidR="005C0ECA" w:rsidRDefault="00212087" w:rsidP="00841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понимать народное поэтическое, песенное и инструментальное музыкальное творчество как часть духовной культуры народа, воспринимать интонационное многообразие фольклорных традиций своего народа и других народов мира, ориентироваться в образцах песенной и инструментальной народной музыки. В процессе изучения предмета учащиеся постигают особенности и характерные черты русской народной музыки, различные исполнительские типы художественного общения, осваивают способы обращения композиторов к народному музыкальному творчеству, специфику перевоплощения народной музыки в произведениях композиторов. Ученики размышляют о духовной музыке русских композиторов, основных средствах ее выразительности народно-песенных истоках; знакомятся с этнической музыкой и особой формой русского национального музыкального искусства – колокольные звоны.</w:t>
      </w: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Pr="00212087" w:rsidRDefault="005C0ECA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Pr="00212087" w:rsidRDefault="00212087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Default="00212087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Pr="00841395" w:rsidRDefault="00841395" w:rsidP="00841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spellStart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внутрипредметного</w:t>
      </w:r>
      <w:proofErr w:type="spellEnd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России петь – что стремиться в храм!</w:t>
      </w: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95" w:rsidRPr="00212087" w:rsidRDefault="00841395" w:rsidP="0084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6B">
        <w:rPr>
          <w:rFonts w:ascii="Times New Roman" w:hAnsi="Times New Roman" w:cs="Times New Roman"/>
          <w:sz w:val="24"/>
          <w:szCs w:val="24"/>
        </w:rPr>
        <w:t>В рамках проведения модуля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продолжение работы по</w:t>
      </w:r>
      <w:r w:rsidRPr="008F5C5D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21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культуры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духовной культуры, </w:t>
      </w:r>
      <w:r w:rsidRPr="0021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творческого воображения. Также планируется знакомство с творчеством авторов, пишущих духовную музыку в наши дни.</w:t>
      </w:r>
      <w:r w:rsidR="005A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Обязательное участие в мероприятиях школы, направленных на развитие духовно-нравственного потенциала обучающихся.</w:t>
      </w: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A" w:rsidRDefault="0098447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CA" w:rsidRPr="00212087" w:rsidRDefault="005C0ECA" w:rsidP="0021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Pr="00212087" w:rsidRDefault="00212087" w:rsidP="00212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P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с указанием количества часов, отводимых на освоение каждой темы.</w:t>
      </w:r>
    </w:p>
    <w:p w:rsidR="00212087" w:rsidRPr="00212087" w:rsidRDefault="00212087" w:rsidP="0021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87" w:rsidRPr="00212087" w:rsidRDefault="00212087" w:rsidP="002120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7"/>
        <w:gridCol w:w="994"/>
        <w:gridCol w:w="1950"/>
      </w:tblGrid>
      <w:tr w:rsidR="00212087" w:rsidRPr="00212087" w:rsidTr="002C31F2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2087" w:rsidRPr="00212087" w:rsidRDefault="00212087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Pr="00212087" w:rsidRDefault="00212087" w:rsidP="00D9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087" w:rsidRPr="00212087" w:rsidRDefault="00212087" w:rsidP="00D93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212087" w:rsidRPr="00212087" w:rsidRDefault="00212087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2087" w:rsidRPr="00212087" w:rsidRDefault="00212087" w:rsidP="00D936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</w:t>
            </w:r>
            <w:r w:rsidRPr="00212087">
              <w:rPr>
                <w:rFonts w:ascii="Times New Roman" w:eastAsia="Times New Roman" w:hAnsi="Times New Roman" w:cs="Times New Roman"/>
                <w:szCs w:val="24"/>
              </w:rPr>
              <w:t>ичество</w:t>
            </w:r>
            <w:proofErr w:type="spellEnd"/>
          </w:p>
          <w:p w:rsidR="00212087" w:rsidRPr="00212087" w:rsidRDefault="00212087" w:rsidP="00D9360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Pr="00212087" w:rsidRDefault="00212087" w:rsidP="00D9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087" w:rsidRPr="00212087" w:rsidRDefault="00212087" w:rsidP="00D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087" w:rsidRPr="00212087" w:rsidRDefault="00212087" w:rsidP="00D93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212087" w:rsidRPr="00212087" w:rsidTr="002C31F2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7" w:rsidRPr="00212087" w:rsidRDefault="00212087" w:rsidP="00D936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7" w:rsidRPr="00212087" w:rsidRDefault="00212087" w:rsidP="00D9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«Музыка и литература</w:t>
            </w:r>
            <w:r w:rsidRPr="0021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12087" w:rsidRPr="00212087" w:rsidRDefault="00212087" w:rsidP="00D936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7" w:rsidRPr="00212087" w:rsidRDefault="002C31F2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Pr="00212087" w:rsidRDefault="00212087" w:rsidP="00D9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601" w:rsidRPr="00212087" w:rsidTr="002C31F2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01" w:rsidRPr="00212087" w:rsidRDefault="00D93601" w:rsidP="00D936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01" w:rsidRPr="00636A6B" w:rsidRDefault="00D93601" w:rsidP="0080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Что роднит музыку с литературой</w:t>
            </w:r>
            <w:r w:rsidR="002C31F2">
              <w:rPr>
                <w:rFonts w:ascii="Times New Roman" w:hAnsi="Times New Roman"/>
                <w:sz w:val="24"/>
                <w:szCs w:val="24"/>
              </w:rPr>
              <w:t>.</w:t>
            </w:r>
            <w:r w:rsidR="002C31F2" w:rsidRPr="00636A6B">
              <w:rPr>
                <w:rFonts w:ascii="Times New Roman" w:hAnsi="Times New Roman"/>
                <w:sz w:val="24"/>
                <w:szCs w:val="24"/>
              </w:rPr>
              <w:t xml:space="preserve"> Вокальная музыка</w:t>
            </w:r>
            <w:r w:rsidR="002C31F2">
              <w:rPr>
                <w:rFonts w:ascii="Times New Roman" w:hAnsi="Times New Roman"/>
                <w:sz w:val="24"/>
                <w:szCs w:val="24"/>
              </w:rPr>
              <w:t>. Жанры. Входное тестирование.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01" w:rsidRPr="00212087" w:rsidRDefault="00D93601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01" w:rsidRPr="00212087" w:rsidRDefault="00D93601" w:rsidP="00D9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80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Жанры инструментальной и вокальной музыки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D9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BB4B6B" w:rsidRDefault="0098447A" w:rsidP="00D9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-</w:t>
            </w:r>
            <w:r w:rsidR="00F6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стремиться в храм»</w:t>
            </w:r>
          </w:p>
        </w:tc>
      </w:tr>
      <w:tr w:rsidR="002C31F2" w:rsidRPr="00212087" w:rsidTr="002C31F2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8767B" w:rsidRDefault="002C31F2" w:rsidP="0080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  <w:r>
              <w:rPr>
                <w:rFonts w:ascii="Times New Roman" w:hAnsi="Times New Roman"/>
                <w:sz w:val="24"/>
                <w:szCs w:val="24"/>
              </w:rPr>
              <w:t>.  Всю жизнь мою несу Родину в душе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D9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BB4B6B" w:rsidRDefault="002C31F2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F6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стремиться в храм»</w:t>
            </w:r>
          </w:p>
        </w:tc>
      </w:tr>
      <w:tr w:rsidR="002C31F2" w:rsidRPr="00212087" w:rsidTr="002C31F2">
        <w:trPr>
          <w:trHeight w:val="1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«Литература и музыка». Промежуточное тестирование.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BB4B6B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-</w:t>
            </w:r>
            <w:r w:rsidR="00F6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стремиться в храм»</w:t>
            </w:r>
          </w:p>
        </w:tc>
      </w:tr>
      <w:tr w:rsidR="002C31F2" w:rsidRPr="00212087" w:rsidTr="002C31F2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«Музыка и изобразительное искусство</w:t>
            </w:r>
            <w:r w:rsidRPr="0021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1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1F2" w:rsidRPr="00212087" w:rsidTr="002C31F2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636A6B" w:rsidRDefault="002C31F2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A6B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</w:t>
            </w:r>
            <w:r w:rsidR="0098447A">
              <w:rPr>
                <w:rFonts w:ascii="Times New Roman" w:hAnsi="Times New Roman"/>
                <w:sz w:val="24"/>
                <w:szCs w:val="24"/>
              </w:rPr>
              <w:t>.</w:t>
            </w:r>
            <w:r w:rsidR="0098447A" w:rsidRPr="00636A6B">
              <w:rPr>
                <w:rFonts w:ascii="Times New Roman" w:hAnsi="Times New Roman"/>
                <w:sz w:val="24"/>
                <w:szCs w:val="24"/>
              </w:rPr>
              <w:t xml:space="preserve"> Звать через прошлое к настоящему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2" w:rsidRPr="00212087" w:rsidRDefault="002C31F2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447A" w:rsidRPr="00212087" w:rsidTr="002C31F2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636A6B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BB4B6B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-</w:t>
            </w:r>
            <w:r w:rsidR="00F6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стремиться в храм»</w:t>
            </w:r>
          </w:p>
        </w:tc>
      </w:tr>
      <w:tr w:rsidR="0098447A" w:rsidRPr="00212087" w:rsidTr="002C31F2">
        <w:trPr>
          <w:trHeight w:val="2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636A6B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A6B"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в музыке и изобразительном искусстве Портрет в музыке и изобразительном искусстве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447A" w:rsidRPr="00212087" w:rsidTr="002C31F2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636A6B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Волшебная палочка дирижера.  Образы борьбы и победы в искусстве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447A" w:rsidRPr="00212087" w:rsidTr="002C31F2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Полифония в музыке и живописи</w:t>
            </w:r>
          </w:p>
          <w:p w:rsidR="0098447A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BB4B6B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-</w:t>
            </w:r>
            <w:r w:rsidR="00F6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стремиться в храм»</w:t>
            </w:r>
          </w:p>
        </w:tc>
      </w:tr>
      <w:tr w:rsidR="0098447A" w:rsidRPr="00212087" w:rsidTr="002C31F2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636A6B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Музыка на мольберте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Импрессионизм в музыке и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47A" w:rsidRPr="00212087" w:rsidTr="002C31F2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О подвигах, о доблести, о славе</w:t>
            </w:r>
            <w:proofErr w:type="gramStart"/>
            <w:r w:rsidRPr="00636A6B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6A6B">
              <w:rPr>
                <w:rFonts w:ascii="Times New Roman" w:hAnsi="Times New Roman"/>
                <w:sz w:val="24"/>
                <w:szCs w:val="24"/>
              </w:rPr>
              <w:t xml:space="preserve"> каждой мимолетности вижу я миры…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-</w:t>
            </w:r>
            <w:r w:rsidR="00F6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стремиться в храм»</w:t>
            </w:r>
          </w:p>
        </w:tc>
      </w:tr>
      <w:tr w:rsidR="0098447A" w:rsidRPr="00212087" w:rsidTr="002C31F2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636A6B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6B">
              <w:rPr>
                <w:rFonts w:ascii="Times New Roman" w:hAnsi="Times New Roman"/>
                <w:sz w:val="24"/>
                <w:szCs w:val="24"/>
              </w:rPr>
              <w:t>Мир композитора. С веком наравне</w:t>
            </w:r>
            <w:r>
              <w:rPr>
                <w:rFonts w:ascii="Times New Roman" w:hAnsi="Times New Roman"/>
                <w:sz w:val="24"/>
                <w:szCs w:val="24"/>
              </w:rPr>
              <w:t>. Итоговое тестирование.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47A" w:rsidRPr="00212087" w:rsidTr="002C31F2">
        <w:trPr>
          <w:trHeight w:val="2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636A6B" w:rsidRDefault="0098447A" w:rsidP="00BB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98447A" w:rsidP="00BB4B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212087" w:rsidRDefault="00F66821" w:rsidP="00BB4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</w:tbl>
    <w:p w:rsidR="003443B2" w:rsidRDefault="003443B2" w:rsidP="00D93601"/>
    <w:sectPr w:rsidR="003443B2" w:rsidSect="00003E74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1" w:rsidRDefault="00E834D1" w:rsidP="00D93601">
      <w:pPr>
        <w:spacing w:after="0" w:line="240" w:lineRule="auto"/>
      </w:pPr>
      <w:r>
        <w:separator/>
      </w:r>
    </w:p>
  </w:endnote>
  <w:endnote w:type="continuationSeparator" w:id="0">
    <w:p w:rsidR="00E834D1" w:rsidRDefault="00E834D1" w:rsidP="00D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84285"/>
      <w:docPartObj>
        <w:docPartGallery w:val="Page Numbers (Bottom of Page)"/>
        <w:docPartUnique/>
      </w:docPartObj>
    </w:sdtPr>
    <w:sdtEndPr/>
    <w:sdtContent>
      <w:p w:rsidR="00003E74" w:rsidRDefault="00BB4B6B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DA1" w:rsidRDefault="00E834D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1" w:rsidRDefault="00E834D1" w:rsidP="00D93601">
      <w:pPr>
        <w:spacing w:after="0" w:line="240" w:lineRule="auto"/>
      </w:pPr>
      <w:r>
        <w:separator/>
      </w:r>
    </w:p>
  </w:footnote>
  <w:footnote w:type="continuationSeparator" w:id="0">
    <w:p w:rsidR="00E834D1" w:rsidRDefault="00E834D1" w:rsidP="00D9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2BA3"/>
    <w:multiLevelType w:val="hybridMultilevel"/>
    <w:tmpl w:val="E01C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55"/>
    <w:rsid w:val="00073667"/>
    <w:rsid w:val="00091C60"/>
    <w:rsid w:val="0012466B"/>
    <w:rsid w:val="00155B6F"/>
    <w:rsid w:val="00212087"/>
    <w:rsid w:val="002C31F2"/>
    <w:rsid w:val="0033179A"/>
    <w:rsid w:val="003443B2"/>
    <w:rsid w:val="0049282B"/>
    <w:rsid w:val="00506F89"/>
    <w:rsid w:val="005A253B"/>
    <w:rsid w:val="005C0ECA"/>
    <w:rsid w:val="005E5FC6"/>
    <w:rsid w:val="00841395"/>
    <w:rsid w:val="0098447A"/>
    <w:rsid w:val="009963B7"/>
    <w:rsid w:val="009A5162"/>
    <w:rsid w:val="009E5A55"/>
    <w:rsid w:val="00BB4B6B"/>
    <w:rsid w:val="00D93601"/>
    <w:rsid w:val="00E459B4"/>
    <w:rsid w:val="00E834D1"/>
    <w:rsid w:val="00EB1CDA"/>
    <w:rsid w:val="00EC509D"/>
    <w:rsid w:val="00F36D65"/>
    <w:rsid w:val="00F66821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21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212087"/>
  </w:style>
  <w:style w:type="paragraph" w:styleId="a4">
    <w:name w:val="footer"/>
    <w:basedOn w:val="a"/>
    <w:link w:val="10"/>
    <w:uiPriority w:val="99"/>
    <w:unhideWhenUsed/>
    <w:rsid w:val="0021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212087"/>
  </w:style>
  <w:style w:type="paragraph" w:styleId="a6">
    <w:name w:val="header"/>
    <w:basedOn w:val="a"/>
    <w:link w:val="a7"/>
    <w:uiPriority w:val="99"/>
    <w:unhideWhenUsed/>
    <w:rsid w:val="00D9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601"/>
  </w:style>
  <w:style w:type="paragraph" w:styleId="a8">
    <w:name w:val="Balloon Text"/>
    <w:basedOn w:val="a"/>
    <w:link w:val="a9"/>
    <w:uiPriority w:val="99"/>
    <w:semiHidden/>
    <w:unhideWhenUsed/>
    <w:rsid w:val="00F8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21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212087"/>
  </w:style>
  <w:style w:type="paragraph" w:styleId="a4">
    <w:name w:val="footer"/>
    <w:basedOn w:val="a"/>
    <w:link w:val="10"/>
    <w:uiPriority w:val="99"/>
    <w:unhideWhenUsed/>
    <w:rsid w:val="0021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212087"/>
  </w:style>
  <w:style w:type="paragraph" w:styleId="a6">
    <w:name w:val="header"/>
    <w:basedOn w:val="a"/>
    <w:link w:val="a7"/>
    <w:uiPriority w:val="99"/>
    <w:unhideWhenUsed/>
    <w:rsid w:val="00D9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601"/>
  </w:style>
  <w:style w:type="paragraph" w:styleId="a8">
    <w:name w:val="Balloon Text"/>
    <w:basedOn w:val="a"/>
    <w:link w:val="a9"/>
    <w:uiPriority w:val="99"/>
    <w:semiHidden/>
    <w:unhideWhenUsed/>
    <w:rsid w:val="00F8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17</cp:revision>
  <cp:lastPrinted>2020-09-14T12:36:00Z</cp:lastPrinted>
  <dcterms:created xsi:type="dcterms:W3CDTF">2020-05-20T07:30:00Z</dcterms:created>
  <dcterms:modified xsi:type="dcterms:W3CDTF">2020-10-07T19:39:00Z</dcterms:modified>
</cp:coreProperties>
</file>